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74" w:type="dxa"/>
        <w:tblInd w:w="-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4"/>
        <w:gridCol w:w="200"/>
      </w:tblGrid>
      <w:tr w:rsidR="00635512" w:rsidRPr="00635512" w14:paraId="39CCC410" w14:textId="77777777" w:rsidTr="009930C2">
        <w:trPr>
          <w:gridAfter w:val="1"/>
          <w:wAfter w:w="200" w:type="dxa"/>
          <w:trHeight w:val="125"/>
        </w:trPr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EA2B2" w14:textId="77777777" w:rsidR="0048451F" w:rsidRDefault="00635512" w:rsidP="00635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35512">
              <w:rPr>
                <w:b/>
                <w:sz w:val="28"/>
                <w:szCs w:val="28"/>
              </w:rPr>
              <w:t xml:space="preserve">BÖLGESEL GİRİŞİM SERMAYESİ </w:t>
            </w:r>
            <w:r w:rsidRPr="006355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MALİ DESTEK PROGRAMI</w:t>
            </w:r>
            <w:r w:rsidRPr="006355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14:paraId="2D2D3165" w14:textId="5A607393" w:rsidR="00635512" w:rsidRPr="00635512" w:rsidRDefault="00635512" w:rsidP="00635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355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SIKÇA SORULAN SORULAR</w:t>
            </w:r>
          </w:p>
        </w:tc>
      </w:tr>
      <w:tr w:rsidR="00635512" w:rsidRPr="00635512" w14:paraId="7ACBFEA2" w14:textId="77777777" w:rsidTr="009930C2">
        <w:trPr>
          <w:gridAfter w:val="1"/>
          <w:wAfter w:w="200" w:type="dxa"/>
          <w:trHeight w:val="486"/>
        </w:trPr>
        <w:tc>
          <w:tcPr>
            <w:tcW w:w="10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A6184" w14:textId="0348E618" w:rsidR="00635512" w:rsidRPr="00635512" w:rsidRDefault="00635512" w:rsidP="00635512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0"/>
                <w:szCs w:val="10"/>
                <w:lang w:eastAsia="tr-TR"/>
              </w:rPr>
            </w:pPr>
          </w:p>
        </w:tc>
      </w:tr>
      <w:tr w:rsidR="00635512" w:rsidRPr="00635512" w14:paraId="213C33B0" w14:textId="77777777" w:rsidTr="009930C2">
        <w:trPr>
          <w:trHeight w:val="29"/>
        </w:trPr>
        <w:tc>
          <w:tcPr>
            <w:tcW w:w="10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48C73" w14:textId="77777777" w:rsidR="00635512" w:rsidRPr="00635512" w:rsidRDefault="00635512" w:rsidP="00635512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24DF" w14:textId="77777777" w:rsidR="00635512" w:rsidRPr="00635512" w:rsidRDefault="00635512" w:rsidP="00635512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0"/>
                <w:szCs w:val="10"/>
                <w:lang w:eastAsia="tr-TR"/>
              </w:rPr>
            </w:pPr>
          </w:p>
        </w:tc>
      </w:tr>
      <w:tr w:rsidR="00635512" w:rsidRPr="00635512" w14:paraId="3197E349" w14:textId="77777777" w:rsidTr="009930C2">
        <w:trPr>
          <w:trHeight w:val="29"/>
        </w:trPr>
        <w:tc>
          <w:tcPr>
            <w:tcW w:w="10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7B504" w14:textId="77777777" w:rsidR="00635512" w:rsidRPr="00635512" w:rsidRDefault="00635512" w:rsidP="00635512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1844" w14:textId="77777777" w:rsidR="00635512" w:rsidRPr="00635512" w:rsidRDefault="00635512" w:rsidP="006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635512" w:rsidRPr="00635512" w14:paraId="5BF688EC" w14:textId="77777777" w:rsidTr="009930C2">
        <w:trPr>
          <w:trHeight w:val="323"/>
        </w:trPr>
        <w:tc>
          <w:tcPr>
            <w:tcW w:w="10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747A7" w14:textId="77777777" w:rsidR="00635512" w:rsidRPr="00635512" w:rsidRDefault="00635512" w:rsidP="00635512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AD3A" w14:textId="77777777" w:rsidR="00635512" w:rsidRPr="00635512" w:rsidRDefault="00635512" w:rsidP="006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</w:tbl>
    <w:p w14:paraId="4E528FAA" w14:textId="77777777" w:rsidR="00635512" w:rsidRDefault="00635512" w:rsidP="00635512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733"/>
        <w:gridCol w:w="3940"/>
        <w:gridCol w:w="4933"/>
      </w:tblGrid>
      <w:tr w:rsidR="00635512" w:rsidRPr="00635512" w14:paraId="4CA4AF72" w14:textId="77777777" w:rsidTr="009930C2">
        <w:trPr>
          <w:trHeight w:val="277"/>
        </w:trPr>
        <w:tc>
          <w:tcPr>
            <w:tcW w:w="733" w:type="dxa"/>
          </w:tcPr>
          <w:p w14:paraId="505E4EC3" w14:textId="77777777" w:rsidR="00635512" w:rsidRPr="00635512" w:rsidRDefault="00635512" w:rsidP="00635512">
            <w:pPr>
              <w:jc w:val="center"/>
              <w:rPr>
                <w:rFonts w:cstheme="minorHAnsi"/>
                <w:b/>
                <w:lang w:val="tr-TR"/>
              </w:rPr>
            </w:pPr>
            <w:r w:rsidRPr="00635512">
              <w:rPr>
                <w:rFonts w:cstheme="minorHAnsi"/>
                <w:b/>
                <w:lang w:val="tr-TR"/>
              </w:rPr>
              <w:t>Sıra</w:t>
            </w:r>
          </w:p>
        </w:tc>
        <w:tc>
          <w:tcPr>
            <w:tcW w:w="3940" w:type="dxa"/>
          </w:tcPr>
          <w:p w14:paraId="4D007F28" w14:textId="07EB54D0" w:rsidR="00635512" w:rsidRPr="00635512" w:rsidRDefault="00D94C21" w:rsidP="00635512">
            <w:pPr>
              <w:jc w:val="center"/>
              <w:rPr>
                <w:rFonts w:cstheme="minorHAnsi"/>
                <w:b/>
                <w:lang w:val="tr-TR"/>
              </w:rPr>
            </w:pPr>
            <w:r>
              <w:rPr>
                <w:rFonts w:cstheme="minorHAnsi"/>
                <w:b/>
                <w:lang w:val="tr-TR"/>
              </w:rPr>
              <w:t>Soru</w:t>
            </w:r>
          </w:p>
        </w:tc>
        <w:tc>
          <w:tcPr>
            <w:tcW w:w="4933" w:type="dxa"/>
          </w:tcPr>
          <w:p w14:paraId="271B0616" w14:textId="36E9BE29" w:rsidR="00635512" w:rsidRPr="00635512" w:rsidRDefault="00635512" w:rsidP="00635512">
            <w:pPr>
              <w:jc w:val="center"/>
              <w:rPr>
                <w:rFonts w:cstheme="minorHAnsi"/>
                <w:b/>
                <w:lang w:val="tr-TR"/>
              </w:rPr>
            </w:pPr>
            <w:r w:rsidRPr="0081704F">
              <w:rPr>
                <w:rFonts w:cstheme="minorHAnsi"/>
                <w:b/>
                <w:lang w:val="tr-TR"/>
              </w:rPr>
              <w:t>Cevap</w:t>
            </w:r>
          </w:p>
        </w:tc>
      </w:tr>
      <w:tr w:rsidR="00635512" w:rsidRPr="00635512" w14:paraId="23CA2F6F" w14:textId="77777777" w:rsidTr="009930C2">
        <w:trPr>
          <w:trHeight w:val="1371"/>
        </w:trPr>
        <w:tc>
          <w:tcPr>
            <w:tcW w:w="733" w:type="dxa"/>
          </w:tcPr>
          <w:p w14:paraId="64EB8480" w14:textId="77777777" w:rsidR="00635512" w:rsidRPr="00635512" w:rsidRDefault="00635512" w:rsidP="00635512">
            <w:pPr>
              <w:jc w:val="center"/>
              <w:rPr>
                <w:rFonts w:cstheme="minorHAnsi"/>
                <w:b/>
                <w:lang w:val="tr-TR"/>
              </w:rPr>
            </w:pPr>
            <w:r w:rsidRPr="00635512">
              <w:rPr>
                <w:rFonts w:cstheme="minorHAnsi"/>
                <w:b/>
                <w:lang w:val="tr-TR"/>
              </w:rPr>
              <w:t>1</w:t>
            </w:r>
          </w:p>
        </w:tc>
        <w:tc>
          <w:tcPr>
            <w:tcW w:w="3940" w:type="dxa"/>
          </w:tcPr>
          <w:p w14:paraId="3A470568" w14:textId="6CECE0BB" w:rsidR="00635512" w:rsidRPr="00635512" w:rsidRDefault="00635512" w:rsidP="00185D9F">
            <w:pPr>
              <w:jc w:val="both"/>
              <w:rPr>
                <w:rFonts w:cstheme="minorHAnsi"/>
                <w:lang w:val="tr-TR"/>
              </w:rPr>
            </w:pPr>
            <w:r w:rsidRPr="00635512">
              <w:rPr>
                <w:rFonts w:cstheme="minorHAnsi"/>
                <w:lang w:val="tr-TR"/>
              </w:rPr>
              <w:t xml:space="preserve">Fon yönetim giderleri Ajans tarafından sağlanan kaynaktan mı </w:t>
            </w:r>
            <w:r>
              <w:rPr>
                <w:rFonts w:cstheme="minorHAnsi"/>
                <w:lang w:val="tr-TR"/>
              </w:rPr>
              <w:t>sağlanacaktır</w:t>
            </w:r>
            <w:r w:rsidRPr="00635512">
              <w:rPr>
                <w:rFonts w:cstheme="minorHAnsi"/>
                <w:lang w:val="tr-TR"/>
              </w:rPr>
              <w:t>, yoksa ayrıca mı ödenecektir?</w:t>
            </w:r>
          </w:p>
        </w:tc>
        <w:tc>
          <w:tcPr>
            <w:tcW w:w="4933" w:type="dxa"/>
          </w:tcPr>
          <w:p w14:paraId="170DF4F5" w14:textId="213A232B" w:rsidR="00635512" w:rsidRPr="00635512" w:rsidRDefault="00D42AE8" w:rsidP="00185D9F">
            <w:pPr>
              <w:jc w:val="both"/>
              <w:rPr>
                <w:rFonts w:cstheme="minorHAnsi"/>
                <w:lang w:val="tr-TR"/>
              </w:rPr>
            </w:pPr>
            <w:proofErr w:type="spellStart"/>
            <w:r w:rsidRPr="00D42AE8">
              <w:rPr>
                <w:rFonts w:cstheme="minorHAnsi"/>
                <w:lang w:val="tr-TR"/>
              </w:rPr>
              <w:t>Fona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ilişkin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giderler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fon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yönetim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ücretinden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karşılanır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. </w:t>
            </w:r>
            <w:proofErr w:type="spellStart"/>
            <w:r w:rsidRPr="00D42AE8">
              <w:rPr>
                <w:rFonts w:cstheme="minorHAnsi"/>
                <w:lang w:val="tr-TR"/>
              </w:rPr>
              <w:t>Başvuru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sahipleri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fondan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karşılanacak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yönetim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ücreti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dâhil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tüm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giderlerin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toplam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fon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değerine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göre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üst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sınırına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ve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performans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ücretine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yönelik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tekliflerine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başvuru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dosyasında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bulunacak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olan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Taslak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Yatırımcı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Sözleşmesi’nde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yer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D42AE8">
              <w:rPr>
                <w:rFonts w:cstheme="minorHAnsi"/>
                <w:lang w:val="tr-TR"/>
              </w:rPr>
              <w:t>verirler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. Bu </w:t>
            </w:r>
            <w:proofErr w:type="spellStart"/>
            <w:r w:rsidRPr="00D42AE8">
              <w:rPr>
                <w:rFonts w:cstheme="minorHAnsi"/>
                <w:lang w:val="tr-TR"/>
              </w:rPr>
              <w:t>teklifler</w:t>
            </w:r>
            <w:proofErr w:type="spellEnd"/>
            <w:r w:rsidRPr="00D42AE8">
              <w:rPr>
                <w:rFonts w:cstheme="minorHAnsi"/>
                <w:lang w:val="tr-TR"/>
              </w:rPr>
              <w:t xml:space="preserve"> başvuruların değerlendirilmesinde dikkate alınır</w:t>
            </w:r>
            <w:r>
              <w:rPr>
                <w:rFonts w:cstheme="minorHAnsi"/>
                <w:lang w:val="tr-TR"/>
              </w:rPr>
              <w:t>.</w:t>
            </w:r>
          </w:p>
        </w:tc>
      </w:tr>
      <w:tr w:rsidR="00635512" w:rsidRPr="00635512" w14:paraId="7A05BECA" w14:textId="77777777" w:rsidTr="009930C2">
        <w:trPr>
          <w:trHeight w:val="539"/>
        </w:trPr>
        <w:tc>
          <w:tcPr>
            <w:tcW w:w="733" w:type="dxa"/>
          </w:tcPr>
          <w:p w14:paraId="1E8A753E" w14:textId="77777777" w:rsidR="00635512" w:rsidRPr="00635512" w:rsidRDefault="00635512" w:rsidP="00635512">
            <w:pPr>
              <w:jc w:val="center"/>
              <w:rPr>
                <w:rFonts w:cstheme="minorHAnsi"/>
                <w:b/>
                <w:lang w:val="tr-TR"/>
              </w:rPr>
            </w:pPr>
            <w:r w:rsidRPr="00635512">
              <w:rPr>
                <w:rFonts w:cstheme="minorHAnsi"/>
                <w:b/>
                <w:lang w:val="tr-TR"/>
              </w:rPr>
              <w:t>2</w:t>
            </w:r>
          </w:p>
        </w:tc>
        <w:tc>
          <w:tcPr>
            <w:tcW w:w="3940" w:type="dxa"/>
          </w:tcPr>
          <w:p w14:paraId="40C07CAD" w14:textId="1486FF46" w:rsidR="00635512" w:rsidRPr="00635512" w:rsidRDefault="00635512" w:rsidP="00185D9F">
            <w:pPr>
              <w:jc w:val="both"/>
              <w:rPr>
                <w:rFonts w:cstheme="minorHAnsi"/>
                <w:lang w:val="tr-TR"/>
              </w:rPr>
            </w:pPr>
            <w:r w:rsidRPr="00635512">
              <w:rPr>
                <w:rFonts w:cstheme="minorHAnsi"/>
                <w:lang w:val="tr-TR"/>
              </w:rPr>
              <w:t xml:space="preserve">Henüz kurulmamış fonlar </w:t>
            </w:r>
            <w:r w:rsidR="00CD059B">
              <w:rPr>
                <w:rFonts w:cstheme="minorHAnsi"/>
                <w:lang w:val="tr-TR"/>
              </w:rPr>
              <w:t xml:space="preserve">adına </w:t>
            </w:r>
            <w:r w:rsidRPr="00635512">
              <w:rPr>
                <w:rFonts w:cstheme="minorHAnsi"/>
                <w:lang w:val="tr-TR"/>
              </w:rPr>
              <w:t>başvuru yap</w:t>
            </w:r>
            <w:r w:rsidR="00CD059B">
              <w:rPr>
                <w:rFonts w:cstheme="minorHAnsi"/>
                <w:lang w:val="tr-TR"/>
              </w:rPr>
              <w:t>ıl</w:t>
            </w:r>
            <w:r w:rsidRPr="00635512">
              <w:rPr>
                <w:rFonts w:cstheme="minorHAnsi"/>
                <w:lang w:val="tr-TR"/>
              </w:rPr>
              <w:t>abilir</w:t>
            </w:r>
            <w:r w:rsidR="00CD059B">
              <w:rPr>
                <w:rFonts w:cstheme="minorHAnsi"/>
                <w:lang w:val="tr-TR"/>
              </w:rPr>
              <w:t xml:space="preserve"> </w:t>
            </w:r>
            <w:r w:rsidRPr="00635512">
              <w:rPr>
                <w:rFonts w:cstheme="minorHAnsi"/>
                <w:lang w:val="tr-TR"/>
              </w:rPr>
              <w:t>mi?</w:t>
            </w:r>
          </w:p>
        </w:tc>
        <w:tc>
          <w:tcPr>
            <w:tcW w:w="4933" w:type="dxa"/>
          </w:tcPr>
          <w:p w14:paraId="20E38CF4" w14:textId="2017069C" w:rsidR="00635512" w:rsidRPr="00635512" w:rsidRDefault="00635512" w:rsidP="00185D9F">
            <w:pPr>
              <w:jc w:val="both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Evet, </w:t>
            </w:r>
            <w:r w:rsidR="00CD059B" w:rsidRPr="000376B9">
              <w:rPr>
                <w:rFonts w:cstheme="minorHAnsi"/>
                <w:lang w:val="tr-TR"/>
              </w:rPr>
              <w:t>bu Programda kurulmuş veya kurulacak fonlar için başvuru yapılabilmektedir.</w:t>
            </w:r>
          </w:p>
          <w:p w14:paraId="43EA0051" w14:textId="07B3AF55" w:rsidR="00635512" w:rsidRPr="00635512" w:rsidRDefault="00635512" w:rsidP="00185D9F">
            <w:pPr>
              <w:jc w:val="both"/>
              <w:rPr>
                <w:rFonts w:cstheme="minorHAnsi"/>
                <w:lang w:val="tr-TR"/>
              </w:rPr>
            </w:pPr>
          </w:p>
        </w:tc>
      </w:tr>
      <w:tr w:rsidR="00635512" w:rsidRPr="00635512" w14:paraId="27218563" w14:textId="77777777" w:rsidTr="009930C2">
        <w:trPr>
          <w:trHeight w:val="554"/>
        </w:trPr>
        <w:tc>
          <w:tcPr>
            <w:tcW w:w="733" w:type="dxa"/>
          </w:tcPr>
          <w:p w14:paraId="497547FD" w14:textId="77777777" w:rsidR="00635512" w:rsidRPr="00635512" w:rsidRDefault="00635512" w:rsidP="00635512">
            <w:pPr>
              <w:jc w:val="center"/>
              <w:rPr>
                <w:rFonts w:cstheme="minorHAnsi"/>
                <w:b/>
                <w:lang w:val="tr-TR"/>
              </w:rPr>
            </w:pPr>
            <w:r w:rsidRPr="00635512">
              <w:rPr>
                <w:rFonts w:cstheme="minorHAnsi"/>
                <w:b/>
                <w:lang w:val="tr-TR"/>
              </w:rPr>
              <w:t>3</w:t>
            </w:r>
          </w:p>
        </w:tc>
        <w:tc>
          <w:tcPr>
            <w:tcW w:w="3940" w:type="dxa"/>
          </w:tcPr>
          <w:p w14:paraId="33579173" w14:textId="1405B62B" w:rsidR="00635512" w:rsidRPr="00635512" w:rsidRDefault="00635512" w:rsidP="00185D9F">
            <w:pPr>
              <w:jc w:val="both"/>
              <w:rPr>
                <w:rFonts w:cstheme="minorHAnsi"/>
                <w:lang w:val="tr-TR"/>
              </w:rPr>
            </w:pPr>
            <w:r w:rsidRPr="00635512">
              <w:rPr>
                <w:rFonts w:cstheme="minorHAnsi"/>
                <w:lang w:val="tr-TR"/>
              </w:rPr>
              <w:t xml:space="preserve">İlk kapanışı yapmış </w:t>
            </w:r>
            <w:r w:rsidR="00D94C21">
              <w:rPr>
                <w:rFonts w:cstheme="minorHAnsi"/>
                <w:lang w:val="tr-TR"/>
              </w:rPr>
              <w:t xml:space="preserve">ama nihai kapanışı yapmamış </w:t>
            </w:r>
            <w:r w:rsidRPr="00635512">
              <w:rPr>
                <w:rFonts w:cstheme="minorHAnsi"/>
                <w:lang w:val="tr-TR"/>
              </w:rPr>
              <w:t xml:space="preserve">fonlar </w:t>
            </w:r>
            <w:r w:rsidR="00CD059B">
              <w:rPr>
                <w:rFonts w:cstheme="minorHAnsi"/>
                <w:lang w:val="tr-TR"/>
              </w:rPr>
              <w:t xml:space="preserve">adına </w:t>
            </w:r>
            <w:r w:rsidRPr="00635512">
              <w:rPr>
                <w:rFonts w:cstheme="minorHAnsi"/>
                <w:lang w:val="tr-TR"/>
              </w:rPr>
              <w:t>başvuru yap</w:t>
            </w:r>
            <w:r w:rsidR="00CD059B">
              <w:rPr>
                <w:rFonts w:cstheme="minorHAnsi"/>
                <w:lang w:val="tr-TR"/>
              </w:rPr>
              <w:t>ıl</w:t>
            </w:r>
            <w:r w:rsidRPr="00635512">
              <w:rPr>
                <w:rFonts w:cstheme="minorHAnsi"/>
                <w:lang w:val="tr-TR"/>
              </w:rPr>
              <w:t>abilir</w:t>
            </w:r>
            <w:r w:rsidR="00CD059B">
              <w:rPr>
                <w:rFonts w:cstheme="minorHAnsi"/>
                <w:lang w:val="tr-TR"/>
              </w:rPr>
              <w:t xml:space="preserve"> </w:t>
            </w:r>
            <w:r w:rsidRPr="00635512">
              <w:rPr>
                <w:rFonts w:cstheme="minorHAnsi"/>
                <w:lang w:val="tr-TR"/>
              </w:rPr>
              <w:t>mi?</w:t>
            </w:r>
          </w:p>
        </w:tc>
        <w:tc>
          <w:tcPr>
            <w:tcW w:w="4933" w:type="dxa"/>
          </w:tcPr>
          <w:p w14:paraId="123CAAF8" w14:textId="77777777" w:rsidR="00CD059B" w:rsidRPr="00635512" w:rsidRDefault="00CD059B" w:rsidP="00185D9F">
            <w:pPr>
              <w:jc w:val="both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Evet, yapılabilir.</w:t>
            </w:r>
          </w:p>
          <w:p w14:paraId="4173A8C4" w14:textId="45C784C1" w:rsidR="00635512" w:rsidRPr="00635512" w:rsidRDefault="00635512" w:rsidP="00185D9F">
            <w:pPr>
              <w:jc w:val="both"/>
              <w:rPr>
                <w:rFonts w:cstheme="minorHAnsi"/>
                <w:lang w:val="tr-TR"/>
              </w:rPr>
            </w:pPr>
          </w:p>
        </w:tc>
      </w:tr>
      <w:tr w:rsidR="00635512" w:rsidRPr="00635512" w14:paraId="65EA7809" w14:textId="77777777" w:rsidTr="009930C2">
        <w:trPr>
          <w:trHeight w:val="1093"/>
        </w:trPr>
        <w:tc>
          <w:tcPr>
            <w:tcW w:w="733" w:type="dxa"/>
          </w:tcPr>
          <w:p w14:paraId="4C06FEB5" w14:textId="77777777" w:rsidR="00635512" w:rsidRPr="00635512" w:rsidRDefault="00635512" w:rsidP="00635512">
            <w:pPr>
              <w:jc w:val="center"/>
              <w:rPr>
                <w:rFonts w:cstheme="minorHAnsi"/>
                <w:b/>
                <w:lang w:val="tr-TR"/>
              </w:rPr>
            </w:pPr>
            <w:r w:rsidRPr="00635512">
              <w:rPr>
                <w:rFonts w:cstheme="minorHAnsi"/>
                <w:b/>
                <w:lang w:val="tr-TR"/>
              </w:rPr>
              <w:t>4</w:t>
            </w:r>
          </w:p>
        </w:tc>
        <w:tc>
          <w:tcPr>
            <w:tcW w:w="3940" w:type="dxa"/>
          </w:tcPr>
          <w:p w14:paraId="43663421" w14:textId="39290165" w:rsidR="00635512" w:rsidRPr="00635512" w:rsidRDefault="00635512" w:rsidP="00185D9F">
            <w:pPr>
              <w:jc w:val="both"/>
              <w:rPr>
                <w:rFonts w:cstheme="minorHAnsi"/>
                <w:lang w:val="tr-TR"/>
              </w:rPr>
            </w:pPr>
            <w:r w:rsidRPr="00635512">
              <w:rPr>
                <w:rFonts w:cstheme="minorHAnsi"/>
                <w:lang w:val="tr-TR"/>
              </w:rPr>
              <w:t xml:space="preserve">TÜBİTAK ve Hazine ve Maliye Bakanlığından destek almış fonlar </w:t>
            </w:r>
            <w:r w:rsidR="00CD059B">
              <w:rPr>
                <w:rFonts w:cstheme="minorHAnsi"/>
                <w:lang w:val="tr-TR"/>
              </w:rPr>
              <w:t xml:space="preserve">adına </w:t>
            </w:r>
            <w:r w:rsidRPr="00635512">
              <w:rPr>
                <w:rFonts w:cstheme="minorHAnsi"/>
                <w:lang w:val="tr-TR"/>
              </w:rPr>
              <w:t>başvuru yap</w:t>
            </w:r>
            <w:r w:rsidR="00CD059B">
              <w:rPr>
                <w:rFonts w:cstheme="minorHAnsi"/>
                <w:lang w:val="tr-TR"/>
              </w:rPr>
              <w:t>ıl</w:t>
            </w:r>
            <w:r w:rsidRPr="00635512">
              <w:rPr>
                <w:rFonts w:cstheme="minorHAnsi"/>
                <w:lang w:val="tr-TR"/>
              </w:rPr>
              <w:t>abilir</w:t>
            </w:r>
            <w:r w:rsidR="00CD059B">
              <w:rPr>
                <w:rFonts w:cstheme="minorHAnsi"/>
                <w:lang w:val="tr-TR"/>
              </w:rPr>
              <w:t xml:space="preserve"> </w:t>
            </w:r>
            <w:r w:rsidRPr="00635512">
              <w:rPr>
                <w:rFonts w:cstheme="minorHAnsi"/>
                <w:lang w:val="tr-TR"/>
              </w:rPr>
              <w:t>mi?</w:t>
            </w:r>
          </w:p>
        </w:tc>
        <w:tc>
          <w:tcPr>
            <w:tcW w:w="4933" w:type="dxa"/>
          </w:tcPr>
          <w:p w14:paraId="3EEFDF12" w14:textId="77777777" w:rsidR="0039074E" w:rsidRPr="00635512" w:rsidRDefault="0039074E" w:rsidP="00185D9F">
            <w:pPr>
              <w:jc w:val="both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Evet, yapılabilir.</w:t>
            </w:r>
          </w:p>
          <w:p w14:paraId="42EAAFAD" w14:textId="77777777" w:rsidR="00635512" w:rsidRPr="00635512" w:rsidRDefault="00635512" w:rsidP="00185D9F">
            <w:pPr>
              <w:jc w:val="both"/>
              <w:rPr>
                <w:b/>
              </w:rPr>
            </w:pPr>
          </w:p>
        </w:tc>
      </w:tr>
      <w:tr w:rsidR="00635512" w:rsidRPr="00635512" w14:paraId="71C36DB9" w14:textId="77777777" w:rsidTr="009930C2">
        <w:trPr>
          <w:trHeight w:val="816"/>
        </w:trPr>
        <w:tc>
          <w:tcPr>
            <w:tcW w:w="733" w:type="dxa"/>
          </w:tcPr>
          <w:p w14:paraId="6F0BE674" w14:textId="77777777" w:rsidR="00635512" w:rsidRPr="00635512" w:rsidRDefault="00635512" w:rsidP="00635512">
            <w:pPr>
              <w:jc w:val="center"/>
              <w:rPr>
                <w:rFonts w:cstheme="minorHAnsi"/>
                <w:b/>
                <w:lang w:val="tr-TR"/>
              </w:rPr>
            </w:pPr>
            <w:r w:rsidRPr="00635512">
              <w:rPr>
                <w:rFonts w:cstheme="minorHAnsi"/>
                <w:b/>
                <w:lang w:val="tr-TR"/>
              </w:rPr>
              <w:t>5</w:t>
            </w:r>
          </w:p>
        </w:tc>
        <w:tc>
          <w:tcPr>
            <w:tcW w:w="3940" w:type="dxa"/>
          </w:tcPr>
          <w:p w14:paraId="3694F3A4" w14:textId="18BECABF" w:rsidR="00635512" w:rsidRPr="00635512" w:rsidRDefault="00635512" w:rsidP="00185D9F">
            <w:pPr>
              <w:jc w:val="both"/>
              <w:rPr>
                <w:rFonts w:cstheme="minorHAnsi"/>
                <w:lang w:val="tr-TR"/>
              </w:rPr>
            </w:pPr>
            <w:r w:rsidRPr="00635512">
              <w:rPr>
                <w:rFonts w:cstheme="minorHAnsi"/>
                <w:lang w:val="tr-TR"/>
              </w:rPr>
              <w:t xml:space="preserve">Girişim Sermayesi Yatırım Ortaklıkları </w:t>
            </w:r>
            <w:r w:rsidR="0039074E">
              <w:rPr>
                <w:rFonts w:cstheme="minorHAnsi"/>
                <w:lang w:val="tr-TR"/>
              </w:rPr>
              <w:t xml:space="preserve">tarafından </w:t>
            </w:r>
            <w:r w:rsidRPr="00635512">
              <w:rPr>
                <w:rFonts w:cstheme="minorHAnsi"/>
                <w:lang w:val="tr-TR"/>
              </w:rPr>
              <w:t>programa başvuru yap</w:t>
            </w:r>
            <w:r w:rsidR="0039074E">
              <w:rPr>
                <w:rFonts w:cstheme="minorHAnsi"/>
                <w:lang w:val="tr-TR"/>
              </w:rPr>
              <w:t>ıl</w:t>
            </w:r>
            <w:r w:rsidRPr="00635512">
              <w:rPr>
                <w:rFonts w:cstheme="minorHAnsi"/>
                <w:lang w:val="tr-TR"/>
              </w:rPr>
              <w:t>abilir</w:t>
            </w:r>
            <w:r w:rsidR="000376B9">
              <w:rPr>
                <w:rFonts w:cstheme="minorHAnsi"/>
                <w:lang w:val="tr-TR"/>
              </w:rPr>
              <w:t xml:space="preserve"> </w:t>
            </w:r>
            <w:r w:rsidRPr="00635512">
              <w:rPr>
                <w:rFonts w:cstheme="minorHAnsi"/>
                <w:lang w:val="tr-TR"/>
              </w:rPr>
              <w:t>mi?</w:t>
            </w:r>
          </w:p>
        </w:tc>
        <w:tc>
          <w:tcPr>
            <w:tcW w:w="4933" w:type="dxa"/>
          </w:tcPr>
          <w:p w14:paraId="134D8D35" w14:textId="77777777" w:rsidR="0039074E" w:rsidRPr="00635512" w:rsidRDefault="0039074E" w:rsidP="00185D9F">
            <w:pPr>
              <w:jc w:val="both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Evet, yapılabilir.</w:t>
            </w:r>
          </w:p>
          <w:p w14:paraId="0B53AC07" w14:textId="77777777" w:rsidR="00635512" w:rsidRPr="00635512" w:rsidRDefault="00635512" w:rsidP="00185D9F">
            <w:pPr>
              <w:jc w:val="both"/>
              <w:rPr>
                <w:b/>
              </w:rPr>
            </w:pPr>
          </w:p>
        </w:tc>
      </w:tr>
      <w:tr w:rsidR="00635512" w:rsidRPr="00635512" w14:paraId="6B3D4C98" w14:textId="77777777" w:rsidTr="009930C2">
        <w:trPr>
          <w:trHeight w:val="277"/>
        </w:trPr>
        <w:tc>
          <w:tcPr>
            <w:tcW w:w="733" w:type="dxa"/>
          </w:tcPr>
          <w:p w14:paraId="71554A8A" w14:textId="77777777" w:rsidR="00635512" w:rsidRPr="00635512" w:rsidRDefault="00635512" w:rsidP="00635512">
            <w:pPr>
              <w:jc w:val="center"/>
              <w:rPr>
                <w:rFonts w:cstheme="minorHAnsi"/>
                <w:b/>
                <w:lang w:val="tr-TR"/>
              </w:rPr>
            </w:pPr>
            <w:r w:rsidRPr="00635512">
              <w:rPr>
                <w:rFonts w:cstheme="minorHAnsi"/>
                <w:b/>
                <w:lang w:val="tr-TR"/>
              </w:rPr>
              <w:t>6</w:t>
            </w:r>
          </w:p>
        </w:tc>
        <w:tc>
          <w:tcPr>
            <w:tcW w:w="3940" w:type="dxa"/>
          </w:tcPr>
          <w:p w14:paraId="7019858B" w14:textId="4FF103DC" w:rsidR="00635512" w:rsidRPr="00635512" w:rsidRDefault="000376B9" w:rsidP="00185D9F">
            <w:pPr>
              <w:jc w:val="both"/>
              <w:rPr>
                <w:rFonts w:cstheme="minorHAnsi"/>
                <w:lang w:val="tr-TR"/>
              </w:rPr>
            </w:pPr>
            <w:r w:rsidRPr="000376B9">
              <w:rPr>
                <w:rFonts w:cstheme="minorHAnsi"/>
                <w:lang w:val="tr-TR"/>
              </w:rPr>
              <w:t xml:space="preserve">Program çerçevesinde </w:t>
            </w:r>
            <w:r>
              <w:rPr>
                <w:rFonts w:cstheme="minorHAnsi"/>
                <w:lang w:val="tr-TR"/>
              </w:rPr>
              <w:t>y</w:t>
            </w:r>
            <w:r w:rsidRPr="000376B9">
              <w:rPr>
                <w:rFonts w:cstheme="minorHAnsi"/>
                <w:lang w:val="tr-TR"/>
              </w:rPr>
              <w:t xml:space="preserve">urtdışında kurulmuş </w:t>
            </w:r>
            <w:r>
              <w:rPr>
                <w:rFonts w:cstheme="minorHAnsi"/>
                <w:lang w:val="tr-TR"/>
              </w:rPr>
              <w:t>fonlar başvuru yapabilir mi?</w:t>
            </w:r>
          </w:p>
        </w:tc>
        <w:tc>
          <w:tcPr>
            <w:tcW w:w="4933" w:type="dxa"/>
          </w:tcPr>
          <w:p w14:paraId="11AE69D9" w14:textId="1F8EA6D7" w:rsidR="00635512" w:rsidRPr="00635512" w:rsidRDefault="0039074E" w:rsidP="00185D9F">
            <w:pPr>
              <w:jc w:val="both"/>
              <w:rPr>
                <w:b/>
              </w:rPr>
            </w:pPr>
            <w:r>
              <w:t xml:space="preserve">Evet, </w:t>
            </w:r>
            <w:proofErr w:type="spellStart"/>
            <w:r w:rsidR="000376B9">
              <w:t>Ekonomik</w:t>
            </w:r>
            <w:proofErr w:type="spellEnd"/>
            <w:r w:rsidR="000376B9">
              <w:t xml:space="preserve"> </w:t>
            </w:r>
            <w:proofErr w:type="spellStart"/>
            <w:r w:rsidR="000376B9">
              <w:t>Kalkınma</w:t>
            </w:r>
            <w:proofErr w:type="spellEnd"/>
            <w:r w:rsidR="000376B9">
              <w:t xml:space="preserve"> </w:t>
            </w:r>
            <w:proofErr w:type="spellStart"/>
            <w:r w:rsidR="000376B9">
              <w:t>ve</w:t>
            </w:r>
            <w:proofErr w:type="spellEnd"/>
            <w:r w:rsidR="000376B9">
              <w:t xml:space="preserve"> </w:t>
            </w:r>
            <w:proofErr w:type="spellStart"/>
            <w:r w:rsidR="000376B9">
              <w:t>İşbirliği</w:t>
            </w:r>
            <w:proofErr w:type="spellEnd"/>
            <w:r w:rsidR="000376B9">
              <w:t xml:space="preserve"> </w:t>
            </w:r>
            <w:proofErr w:type="spellStart"/>
            <w:r w:rsidR="000376B9">
              <w:t>Örgütü</w:t>
            </w:r>
            <w:proofErr w:type="spellEnd"/>
            <w:r w:rsidR="000376B9">
              <w:t xml:space="preserve"> (OECD) </w:t>
            </w:r>
            <w:proofErr w:type="spellStart"/>
            <w:r w:rsidR="000376B9">
              <w:t>tarafından</w:t>
            </w:r>
            <w:proofErr w:type="spellEnd"/>
            <w:r w:rsidR="000376B9">
              <w:t xml:space="preserve"> </w:t>
            </w:r>
            <w:proofErr w:type="spellStart"/>
            <w:r w:rsidR="000376B9">
              <w:t>açıklanan</w:t>
            </w:r>
            <w:proofErr w:type="spellEnd"/>
            <w:r w:rsidR="000376B9">
              <w:t xml:space="preserve"> </w:t>
            </w:r>
            <w:proofErr w:type="spellStart"/>
            <w:r w:rsidR="000376B9">
              <w:t>kara</w:t>
            </w:r>
            <w:proofErr w:type="spellEnd"/>
            <w:r w:rsidR="000376B9">
              <w:t xml:space="preserve"> </w:t>
            </w:r>
            <w:proofErr w:type="spellStart"/>
            <w:r w:rsidR="000376B9">
              <w:t>liste</w:t>
            </w:r>
            <w:proofErr w:type="spellEnd"/>
            <w:r w:rsidR="000376B9">
              <w:t xml:space="preserve"> </w:t>
            </w:r>
            <w:proofErr w:type="spellStart"/>
            <w:r w:rsidR="000376B9">
              <w:t>kapsamında</w:t>
            </w:r>
            <w:proofErr w:type="spellEnd"/>
            <w:r w:rsidR="000376B9">
              <w:t xml:space="preserve"> </w:t>
            </w:r>
            <w:proofErr w:type="spellStart"/>
            <w:r w:rsidR="000376B9">
              <w:t>olan</w:t>
            </w:r>
            <w:proofErr w:type="spellEnd"/>
            <w:r w:rsidR="000376B9">
              <w:t xml:space="preserve"> </w:t>
            </w:r>
            <w:proofErr w:type="spellStart"/>
            <w:r w:rsidR="000376B9">
              <w:t>ülkeler</w:t>
            </w:r>
            <w:proofErr w:type="spellEnd"/>
            <w:r w:rsidR="000376B9">
              <w:t xml:space="preserve"> </w:t>
            </w:r>
            <w:proofErr w:type="spellStart"/>
            <w:r w:rsidR="000376B9">
              <w:t>hariç</w:t>
            </w:r>
            <w:proofErr w:type="spellEnd"/>
            <w:r w:rsidR="000376B9">
              <w:t xml:space="preserve"> </w:t>
            </w:r>
            <w:proofErr w:type="spellStart"/>
            <w:r w:rsidR="000376B9">
              <w:t>olmak</w:t>
            </w:r>
            <w:proofErr w:type="spellEnd"/>
            <w:r w:rsidR="000376B9">
              <w:t xml:space="preserve"> </w:t>
            </w:r>
            <w:proofErr w:type="spellStart"/>
            <w:r w:rsidR="000376B9">
              <w:t>üzere</w:t>
            </w:r>
            <w:proofErr w:type="spellEnd"/>
            <w:r w:rsidR="000376B9">
              <w:t xml:space="preserve"> </w:t>
            </w:r>
            <w:proofErr w:type="spellStart"/>
            <w:r w:rsidR="000376B9">
              <w:t>Türkiye’de</w:t>
            </w:r>
            <w:proofErr w:type="spellEnd"/>
            <w:r w:rsidR="000376B9">
              <w:t xml:space="preserve"> </w:t>
            </w:r>
            <w:proofErr w:type="spellStart"/>
            <w:r w:rsidR="000376B9">
              <w:t>yerleşik</w:t>
            </w:r>
            <w:proofErr w:type="spellEnd"/>
            <w:r w:rsidR="000376B9">
              <w:t xml:space="preserve"> </w:t>
            </w:r>
            <w:proofErr w:type="spellStart"/>
            <w:r>
              <w:t>g</w:t>
            </w:r>
            <w:r w:rsidR="000376B9">
              <w:t>irişim</w:t>
            </w:r>
            <w:proofErr w:type="spellEnd"/>
            <w:r w:rsidR="000376B9">
              <w:t xml:space="preserve"> </w:t>
            </w:r>
            <w:proofErr w:type="spellStart"/>
            <w:r>
              <w:t>ş</w:t>
            </w:r>
            <w:r w:rsidR="000376B9">
              <w:t>irketlerine</w:t>
            </w:r>
            <w:proofErr w:type="spellEnd"/>
            <w:r w:rsidR="000376B9">
              <w:t xml:space="preserve"> </w:t>
            </w:r>
            <w:proofErr w:type="spellStart"/>
            <w:r w:rsidR="000376B9">
              <w:t>yatırım</w:t>
            </w:r>
            <w:proofErr w:type="spellEnd"/>
            <w:r w:rsidR="000376B9">
              <w:t xml:space="preserve"> </w:t>
            </w:r>
            <w:proofErr w:type="spellStart"/>
            <w:r w:rsidR="000376B9">
              <w:t>yapmak</w:t>
            </w:r>
            <w:proofErr w:type="spellEnd"/>
            <w:r w:rsidR="000376B9">
              <w:t xml:space="preserve"> </w:t>
            </w:r>
            <w:proofErr w:type="spellStart"/>
            <w:r w:rsidR="000376B9">
              <w:t>üzere</w:t>
            </w:r>
            <w:proofErr w:type="spellEnd"/>
            <w:r w:rsidR="000376B9">
              <w:t xml:space="preserve"> </w:t>
            </w:r>
            <w:proofErr w:type="spellStart"/>
            <w:r w:rsidR="000376B9">
              <w:t>ilgili</w:t>
            </w:r>
            <w:proofErr w:type="spellEnd"/>
            <w:r w:rsidR="000376B9">
              <w:t xml:space="preserve"> </w:t>
            </w:r>
            <w:proofErr w:type="spellStart"/>
            <w:r w:rsidR="000376B9">
              <w:t>ülke</w:t>
            </w:r>
            <w:proofErr w:type="spellEnd"/>
            <w:r w:rsidR="000376B9">
              <w:t xml:space="preserve"> </w:t>
            </w:r>
            <w:proofErr w:type="spellStart"/>
            <w:r w:rsidR="000376B9">
              <w:t>mevzuatı</w:t>
            </w:r>
            <w:proofErr w:type="spellEnd"/>
            <w:r w:rsidR="000376B9">
              <w:t xml:space="preserve"> </w:t>
            </w:r>
            <w:proofErr w:type="spellStart"/>
            <w:r w:rsidR="000376B9">
              <w:t>çerçevesinde</w:t>
            </w:r>
            <w:proofErr w:type="spellEnd"/>
            <w:r w:rsidR="000376B9">
              <w:t xml:space="preserve"> </w:t>
            </w:r>
            <w:proofErr w:type="spellStart"/>
            <w:r w:rsidR="000376B9">
              <w:t>kurulan</w:t>
            </w:r>
            <w:proofErr w:type="spellEnd"/>
            <w:r w:rsidR="000376B9">
              <w:t xml:space="preserve"> </w:t>
            </w:r>
            <w:proofErr w:type="spellStart"/>
            <w:r w:rsidR="000376B9">
              <w:t>fonlar</w:t>
            </w:r>
            <w:proofErr w:type="spellEnd"/>
            <w:r w:rsidR="00BA3E5B">
              <w:t xml:space="preserve"> </w:t>
            </w:r>
            <w:proofErr w:type="spellStart"/>
            <w:r w:rsidR="00BA3E5B">
              <w:t>adına</w:t>
            </w:r>
            <w:proofErr w:type="spellEnd"/>
            <w:r w:rsidR="00BA3E5B">
              <w:t xml:space="preserve"> </w:t>
            </w:r>
            <w:proofErr w:type="spellStart"/>
            <w:r w:rsidR="00BA3E5B">
              <w:t>başvuru</w:t>
            </w:r>
            <w:proofErr w:type="spellEnd"/>
            <w:r w:rsidR="00BA3E5B">
              <w:t xml:space="preserve"> </w:t>
            </w:r>
            <w:proofErr w:type="spellStart"/>
            <w:r w:rsidR="00BA3E5B">
              <w:t>yapılabilecektir</w:t>
            </w:r>
            <w:proofErr w:type="spellEnd"/>
            <w:r w:rsidR="00BA3E5B">
              <w:t>.</w:t>
            </w:r>
          </w:p>
        </w:tc>
      </w:tr>
      <w:tr w:rsidR="00635512" w:rsidRPr="00635512" w14:paraId="1569DAC2" w14:textId="77777777" w:rsidTr="009930C2">
        <w:trPr>
          <w:trHeight w:val="277"/>
        </w:trPr>
        <w:tc>
          <w:tcPr>
            <w:tcW w:w="733" w:type="dxa"/>
          </w:tcPr>
          <w:p w14:paraId="29B044DA" w14:textId="77777777" w:rsidR="00635512" w:rsidRPr="00635512" w:rsidRDefault="00635512" w:rsidP="00635512">
            <w:pPr>
              <w:jc w:val="center"/>
              <w:rPr>
                <w:rFonts w:cstheme="minorHAnsi"/>
                <w:b/>
                <w:lang w:val="tr-TR"/>
              </w:rPr>
            </w:pPr>
            <w:r w:rsidRPr="00635512">
              <w:rPr>
                <w:rFonts w:cstheme="minorHAnsi"/>
                <w:b/>
                <w:lang w:val="tr-TR"/>
              </w:rPr>
              <w:t>7</w:t>
            </w:r>
          </w:p>
        </w:tc>
        <w:tc>
          <w:tcPr>
            <w:tcW w:w="3940" w:type="dxa"/>
          </w:tcPr>
          <w:p w14:paraId="6A4E2CBE" w14:textId="2C1370B1" w:rsidR="00635512" w:rsidRPr="00635512" w:rsidRDefault="00BA3E5B" w:rsidP="00185D9F">
            <w:pPr>
              <w:jc w:val="both"/>
              <w:rPr>
                <w:rFonts w:cstheme="minorHAnsi"/>
                <w:lang w:val="tr-TR"/>
              </w:rPr>
            </w:pPr>
            <w:r w:rsidRPr="00635512">
              <w:rPr>
                <w:rFonts w:cstheme="minorHAnsi"/>
                <w:lang w:val="tr-TR"/>
              </w:rPr>
              <w:t>Fonumuz uluslararası kurum ve kuruluşların yatırımcı olduğu bir fondur. Fon sözleşmelerimiz İngilizcedir. İSTKA ile imzalanacak fon sözleşmesi İngilizce olabilir mi?</w:t>
            </w:r>
          </w:p>
        </w:tc>
        <w:tc>
          <w:tcPr>
            <w:tcW w:w="4933" w:type="dxa"/>
          </w:tcPr>
          <w:p w14:paraId="57CAFF85" w14:textId="3A2A454F" w:rsidR="00635512" w:rsidRPr="00635512" w:rsidRDefault="0039074E" w:rsidP="00185D9F">
            <w:pPr>
              <w:jc w:val="both"/>
              <w:rPr>
                <w:b/>
              </w:rPr>
            </w:pPr>
            <w:proofErr w:type="spellStart"/>
            <w:r>
              <w:t>Ajans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Fon</w:t>
            </w:r>
            <w:proofErr w:type="spellEnd"/>
            <w:r>
              <w:t xml:space="preserve"> </w:t>
            </w:r>
            <w:proofErr w:type="spellStart"/>
            <w:r>
              <w:t>Yöneticileri</w:t>
            </w:r>
            <w:proofErr w:type="spellEnd"/>
            <w:r>
              <w:t xml:space="preserve"> </w:t>
            </w:r>
            <w:proofErr w:type="spellStart"/>
            <w:r>
              <w:t>arasında</w:t>
            </w:r>
            <w:proofErr w:type="spellEnd"/>
            <w:r>
              <w:t xml:space="preserve"> </w:t>
            </w:r>
            <w:proofErr w:type="spellStart"/>
            <w:r>
              <w:t>imzalanacak</w:t>
            </w:r>
            <w:proofErr w:type="spellEnd"/>
            <w:r>
              <w:t xml:space="preserve"> </w:t>
            </w:r>
            <w:proofErr w:type="spellStart"/>
            <w:r>
              <w:t>sözleşmelerin</w:t>
            </w:r>
            <w:proofErr w:type="spellEnd"/>
            <w:r>
              <w:t xml:space="preserve"> </w:t>
            </w:r>
            <w:proofErr w:type="spellStart"/>
            <w:r>
              <w:t>Türkçe</w:t>
            </w:r>
            <w:proofErr w:type="spellEnd"/>
            <w:r>
              <w:t xml:space="preserve"> </w:t>
            </w:r>
            <w:proofErr w:type="spellStart"/>
            <w:r>
              <w:t>dışında</w:t>
            </w:r>
            <w:proofErr w:type="spellEnd"/>
            <w:r>
              <w:t xml:space="preserve"> </w:t>
            </w:r>
            <w:proofErr w:type="spellStart"/>
            <w:r>
              <w:t>tek</w:t>
            </w:r>
            <w:proofErr w:type="spellEnd"/>
            <w:r>
              <w:t xml:space="preserve"> </w:t>
            </w:r>
            <w:proofErr w:type="spellStart"/>
            <w:r>
              <w:t>dilli</w:t>
            </w:r>
            <w:proofErr w:type="spellEnd"/>
            <w:r>
              <w:t xml:space="preserve"> </w:t>
            </w:r>
            <w:proofErr w:type="spellStart"/>
            <w:r>
              <w:t>olması</w:t>
            </w:r>
            <w:proofErr w:type="spellEnd"/>
            <w:r>
              <w:t xml:space="preserve"> </w:t>
            </w:r>
            <w:proofErr w:type="spellStart"/>
            <w:r>
              <w:t>mümkün</w:t>
            </w:r>
            <w:proofErr w:type="spellEnd"/>
            <w:r>
              <w:t xml:space="preserve"> </w:t>
            </w:r>
            <w:proofErr w:type="spellStart"/>
            <w:r>
              <w:t>değildir</w:t>
            </w:r>
            <w:proofErr w:type="spellEnd"/>
            <w:r>
              <w:t xml:space="preserve">. Bu </w:t>
            </w:r>
            <w:proofErr w:type="spellStart"/>
            <w:r>
              <w:t>bağlamda</w:t>
            </w:r>
            <w:proofErr w:type="spellEnd"/>
            <w:r>
              <w:t xml:space="preserve"> </w:t>
            </w:r>
            <w:proofErr w:type="spellStart"/>
            <w:r>
              <w:t>sadece</w:t>
            </w:r>
            <w:proofErr w:type="spellEnd"/>
            <w:r>
              <w:t xml:space="preserve"> </w:t>
            </w:r>
            <w:proofErr w:type="spellStart"/>
            <w:r>
              <w:t>İngilizce</w:t>
            </w:r>
            <w:proofErr w:type="spellEnd"/>
            <w:r>
              <w:t xml:space="preserve"> </w:t>
            </w:r>
            <w:proofErr w:type="spellStart"/>
            <w:r>
              <w:t>dilinde</w:t>
            </w:r>
            <w:proofErr w:type="spellEnd"/>
            <w:r>
              <w:t xml:space="preserve"> </w:t>
            </w:r>
            <w:proofErr w:type="spellStart"/>
            <w:r>
              <w:t>sözleşme</w:t>
            </w:r>
            <w:proofErr w:type="spellEnd"/>
            <w:r>
              <w:t xml:space="preserve"> </w:t>
            </w:r>
            <w:proofErr w:type="spellStart"/>
            <w:r>
              <w:t>imzalanmayacaktır</w:t>
            </w:r>
            <w:proofErr w:type="spellEnd"/>
            <w:r>
              <w:t xml:space="preserve">. </w:t>
            </w:r>
            <w:proofErr w:type="spellStart"/>
            <w:r>
              <w:t>Bununla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birlikte</w:t>
            </w:r>
            <w:proofErr w:type="spellEnd"/>
            <w:r>
              <w:t xml:space="preserve">  </w:t>
            </w:r>
            <w:proofErr w:type="spellStart"/>
            <w:r>
              <w:t>sözleşme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metninin</w:t>
            </w:r>
            <w:proofErr w:type="spellEnd"/>
            <w:r>
              <w:t xml:space="preserve">, </w:t>
            </w:r>
            <w:proofErr w:type="spellStart"/>
            <w:r>
              <w:t>Türkçe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İngilizce</w:t>
            </w:r>
            <w:proofErr w:type="spellEnd"/>
            <w:r>
              <w:t xml:space="preserve"> </w:t>
            </w:r>
            <w:proofErr w:type="spellStart"/>
            <w:r>
              <w:t>olacak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, </w:t>
            </w:r>
            <w:proofErr w:type="spellStart"/>
            <w:r>
              <w:t>çift</w:t>
            </w:r>
            <w:proofErr w:type="spellEnd"/>
            <w:r>
              <w:t xml:space="preserve"> </w:t>
            </w:r>
            <w:proofErr w:type="spellStart"/>
            <w:r>
              <w:t>dilli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 xml:space="preserve"> </w:t>
            </w:r>
            <w:proofErr w:type="spellStart"/>
            <w:r>
              <w:t>mümkündür</w:t>
            </w:r>
            <w:proofErr w:type="spellEnd"/>
            <w:r>
              <w:t xml:space="preserve">. </w:t>
            </w:r>
          </w:p>
        </w:tc>
      </w:tr>
      <w:tr w:rsidR="00BA3E5B" w:rsidRPr="00635512" w14:paraId="7988846E" w14:textId="77777777" w:rsidTr="009930C2">
        <w:trPr>
          <w:trHeight w:val="261"/>
        </w:trPr>
        <w:tc>
          <w:tcPr>
            <w:tcW w:w="733" w:type="dxa"/>
          </w:tcPr>
          <w:p w14:paraId="18FA043E" w14:textId="77777777" w:rsidR="00BA3E5B" w:rsidRPr="00635512" w:rsidRDefault="00BA3E5B" w:rsidP="00BA3E5B">
            <w:pPr>
              <w:jc w:val="center"/>
              <w:rPr>
                <w:rFonts w:cstheme="minorHAnsi"/>
                <w:b/>
                <w:lang w:val="tr-TR"/>
              </w:rPr>
            </w:pPr>
            <w:r w:rsidRPr="00635512">
              <w:rPr>
                <w:rFonts w:cstheme="minorHAnsi"/>
                <w:b/>
                <w:lang w:val="tr-TR"/>
              </w:rPr>
              <w:t>8</w:t>
            </w:r>
          </w:p>
        </w:tc>
        <w:tc>
          <w:tcPr>
            <w:tcW w:w="3940" w:type="dxa"/>
          </w:tcPr>
          <w:p w14:paraId="7392C42F" w14:textId="71D9D88C" w:rsidR="00BA3E5B" w:rsidRPr="00635512" w:rsidRDefault="00BA3E5B" w:rsidP="00185D9F">
            <w:pPr>
              <w:jc w:val="both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 xml:space="preserve">Program </w:t>
            </w:r>
            <w:proofErr w:type="spellStart"/>
            <w:r w:rsidRPr="00635512">
              <w:rPr>
                <w:rFonts w:eastAsia="Times New Roman"/>
                <w:lang w:eastAsia="tr-TR"/>
              </w:rPr>
              <w:t>başvuru</w:t>
            </w:r>
            <w:r>
              <w:rPr>
                <w:rFonts w:eastAsia="Times New Roman"/>
                <w:lang w:eastAsia="tr-TR"/>
              </w:rPr>
              <w:t>sunun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Portföy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Yönetim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="00D94C21">
              <w:rPr>
                <w:rFonts w:eastAsia="Times New Roman"/>
                <w:lang w:eastAsia="tr-TR"/>
              </w:rPr>
              <w:t>Ş</w:t>
            </w:r>
            <w:r w:rsidRPr="00635512">
              <w:rPr>
                <w:rFonts w:eastAsia="Times New Roman"/>
                <w:lang w:eastAsia="tr-TR"/>
              </w:rPr>
              <w:t>irketi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olarak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yap</w:t>
            </w:r>
            <w:r>
              <w:rPr>
                <w:rFonts w:eastAsia="Times New Roman"/>
                <w:lang w:eastAsia="tr-TR"/>
              </w:rPr>
              <w:t>ılması</w:t>
            </w:r>
            <w:proofErr w:type="spellEnd"/>
            <w:r>
              <w:rPr>
                <w:rFonts w:eastAsia="Times New Roman"/>
                <w:lang w:eastAsia="tr-TR"/>
              </w:rPr>
              <w:t>,</w:t>
            </w:r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başvurumuzun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kabulü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ve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onayı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sonrası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şartlara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uygun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biçimde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Girişim Sermayesi </w:t>
            </w:r>
            <w:proofErr w:type="spellStart"/>
            <w:r w:rsidRPr="00635512">
              <w:rPr>
                <w:rFonts w:eastAsia="Times New Roman"/>
                <w:lang w:eastAsia="tr-TR"/>
              </w:rPr>
              <w:t>Yatırım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Fonu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kuruluşunu</w:t>
            </w:r>
            <w:r w:rsidR="00D94C21">
              <w:rPr>
                <w:rFonts w:eastAsia="Times New Roman"/>
                <w:lang w:eastAsia="tr-TR"/>
              </w:rPr>
              <w:t>n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gerçekleştir</w:t>
            </w:r>
            <w:r>
              <w:rPr>
                <w:rFonts w:eastAsia="Times New Roman"/>
                <w:lang w:eastAsia="tr-TR"/>
              </w:rPr>
              <w:t>ilmesi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mümkünmüdür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? </w:t>
            </w:r>
            <w:proofErr w:type="spellStart"/>
            <w:r>
              <w:rPr>
                <w:rFonts w:eastAsia="Times New Roman"/>
                <w:lang w:eastAsia="tr-TR"/>
              </w:rPr>
              <w:t>B</w:t>
            </w:r>
            <w:r w:rsidRPr="00635512">
              <w:rPr>
                <w:rFonts w:eastAsia="Times New Roman"/>
                <w:lang w:eastAsia="tr-TR"/>
              </w:rPr>
              <w:t>aşvuru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esnasında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Girişim Sermayesi </w:t>
            </w:r>
            <w:proofErr w:type="spellStart"/>
            <w:r w:rsidRPr="00635512">
              <w:rPr>
                <w:rFonts w:eastAsia="Times New Roman"/>
                <w:lang w:eastAsia="tr-TR"/>
              </w:rPr>
              <w:t>yatırım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fonunun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kurulmuş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olması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zorunlu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mudur</w:t>
            </w:r>
            <w:proofErr w:type="spellEnd"/>
            <w:r w:rsidRPr="00635512">
              <w:rPr>
                <w:rFonts w:eastAsia="Times New Roman"/>
                <w:lang w:eastAsia="tr-TR"/>
              </w:rPr>
              <w:t>?</w:t>
            </w:r>
          </w:p>
          <w:p w14:paraId="4A81881A" w14:textId="60754AD5" w:rsidR="00BA3E5B" w:rsidRPr="00635512" w:rsidRDefault="00BA3E5B" w:rsidP="00185D9F">
            <w:pPr>
              <w:jc w:val="both"/>
              <w:rPr>
                <w:rFonts w:cstheme="minorHAnsi"/>
                <w:lang w:val="tr-TR"/>
              </w:rPr>
            </w:pPr>
          </w:p>
        </w:tc>
        <w:tc>
          <w:tcPr>
            <w:tcW w:w="4933" w:type="dxa"/>
          </w:tcPr>
          <w:p w14:paraId="2788BFAB" w14:textId="1795CFB9" w:rsidR="00BA3E5B" w:rsidRPr="00635512" w:rsidRDefault="00BA3E5B" w:rsidP="00185D9F">
            <w:pPr>
              <w:jc w:val="both"/>
              <w:rPr>
                <w:rFonts w:eastAsia="Times New Roman"/>
                <w:lang w:eastAsia="tr-TR"/>
              </w:rPr>
            </w:pPr>
            <w:r w:rsidRPr="00BA3E5B">
              <w:rPr>
                <w:rFonts w:eastAsia="Times New Roman"/>
                <w:lang w:eastAsia="tr-TR"/>
              </w:rPr>
              <w:lastRenderedPageBreak/>
              <w:t xml:space="preserve">Bu </w:t>
            </w:r>
            <w:proofErr w:type="spellStart"/>
            <w:r w:rsidRPr="00BA3E5B">
              <w:rPr>
                <w:rFonts w:eastAsia="Times New Roman"/>
                <w:lang w:eastAsia="tr-TR"/>
              </w:rPr>
              <w:t>Programda</w:t>
            </w:r>
            <w:proofErr w:type="spellEnd"/>
            <w:r w:rsidRPr="00BA3E5B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BA3E5B">
              <w:rPr>
                <w:rFonts w:eastAsia="Times New Roman"/>
                <w:lang w:eastAsia="tr-TR"/>
              </w:rPr>
              <w:t>kurulmuş</w:t>
            </w:r>
            <w:proofErr w:type="spellEnd"/>
            <w:r w:rsidRPr="00BA3E5B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BA3E5B">
              <w:rPr>
                <w:rFonts w:eastAsia="Times New Roman"/>
                <w:lang w:eastAsia="tr-TR"/>
              </w:rPr>
              <w:t>veya</w:t>
            </w:r>
            <w:proofErr w:type="spellEnd"/>
            <w:r w:rsidRPr="00BA3E5B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BA3E5B">
              <w:rPr>
                <w:rFonts w:eastAsia="Times New Roman"/>
                <w:lang w:eastAsia="tr-TR"/>
              </w:rPr>
              <w:t>kurulacak</w:t>
            </w:r>
            <w:proofErr w:type="spellEnd"/>
            <w:r w:rsidRPr="00BA3E5B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BA3E5B">
              <w:rPr>
                <w:rFonts w:eastAsia="Times New Roman"/>
                <w:lang w:eastAsia="tr-TR"/>
              </w:rPr>
              <w:t>fonlar</w:t>
            </w:r>
            <w:proofErr w:type="spellEnd"/>
            <w:r w:rsidRPr="00BA3E5B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BA3E5B">
              <w:rPr>
                <w:rFonts w:eastAsia="Times New Roman"/>
                <w:lang w:eastAsia="tr-TR"/>
              </w:rPr>
              <w:t>için</w:t>
            </w:r>
            <w:proofErr w:type="spellEnd"/>
            <w:r w:rsidRPr="00BA3E5B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BA3E5B">
              <w:rPr>
                <w:rFonts w:eastAsia="Times New Roman"/>
                <w:lang w:eastAsia="tr-TR"/>
              </w:rPr>
              <w:t>başvuru</w:t>
            </w:r>
            <w:proofErr w:type="spellEnd"/>
            <w:r w:rsidRPr="00BA3E5B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BA3E5B">
              <w:rPr>
                <w:rFonts w:eastAsia="Times New Roman"/>
                <w:lang w:eastAsia="tr-TR"/>
              </w:rPr>
              <w:t>yapılabilmektedir</w:t>
            </w:r>
            <w:proofErr w:type="spellEnd"/>
            <w:r w:rsidRPr="00BA3E5B">
              <w:rPr>
                <w:rFonts w:eastAsia="Times New Roman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/>
                <w:lang w:eastAsia="tr-TR"/>
              </w:rPr>
              <w:t>B</w:t>
            </w:r>
            <w:r w:rsidRPr="00635512">
              <w:rPr>
                <w:rFonts w:eastAsia="Times New Roman"/>
                <w:lang w:eastAsia="tr-TR"/>
              </w:rPr>
              <w:t>aşvuru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esnasında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="0081704F">
              <w:rPr>
                <w:rFonts w:eastAsia="Times New Roman"/>
                <w:lang w:eastAsia="tr-TR"/>
              </w:rPr>
              <w:t>g</w:t>
            </w:r>
            <w:r w:rsidRPr="00635512">
              <w:rPr>
                <w:rFonts w:eastAsia="Times New Roman"/>
                <w:lang w:eastAsia="tr-TR"/>
              </w:rPr>
              <w:t>irişim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="0081704F">
              <w:rPr>
                <w:rFonts w:eastAsia="Times New Roman"/>
                <w:lang w:eastAsia="tr-TR"/>
              </w:rPr>
              <w:t>s</w:t>
            </w:r>
            <w:r w:rsidRPr="00635512">
              <w:rPr>
                <w:rFonts w:eastAsia="Times New Roman"/>
                <w:lang w:eastAsia="tr-TR"/>
              </w:rPr>
              <w:t>ermayesi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yatırım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fonunun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kurulmuş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olması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635512">
              <w:rPr>
                <w:rFonts w:eastAsia="Times New Roman"/>
                <w:lang w:eastAsia="tr-TR"/>
              </w:rPr>
              <w:t>zorunlu</w:t>
            </w:r>
            <w:proofErr w:type="spellEnd"/>
            <w:r w:rsidRPr="00635512"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değildir</w:t>
            </w:r>
            <w:proofErr w:type="spellEnd"/>
            <w:r w:rsidR="0039074E">
              <w:rPr>
                <w:rFonts w:eastAsia="Times New Roman"/>
                <w:lang w:eastAsia="tr-TR"/>
              </w:rPr>
              <w:t>.</w:t>
            </w:r>
          </w:p>
          <w:p w14:paraId="607D43FF" w14:textId="442DCB47" w:rsidR="00BA3E5B" w:rsidRDefault="00BA3E5B" w:rsidP="00185D9F">
            <w:pPr>
              <w:jc w:val="both"/>
              <w:rPr>
                <w:color w:val="FF0000"/>
                <w:lang w:eastAsia="tr-TR"/>
              </w:rPr>
            </w:pPr>
          </w:p>
          <w:p w14:paraId="2697EF20" w14:textId="073D9477" w:rsidR="00BA3E5B" w:rsidRPr="00635512" w:rsidRDefault="00BA3E5B" w:rsidP="00185D9F">
            <w:pPr>
              <w:jc w:val="both"/>
              <w:rPr>
                <w:rFonts w:cstheme="minorHAnsi"/>
                <w:lang w:val="tr-TR"/>
              </w:rPr>
            </w:pPr>
          </w:p>
        </w:tc>
      </w:tr>
      <w:tr w:rsidR="00415BB4" w:rsidRPr="00635512" w14:paraId="1BAE0217" w14:textId="77777777" w:rsidTr="009930C2">
        <w:trPr>
          <w:trHeight w:val="2480"/>
        </w:trPr>
        <w:tc>
          <w:tcPr>
            <w:tcW w:w="733" w:type="dxa"/>
          </w:tcPr>
          <w:p w14:paraId="054D7ACF" w14:textId="77777777" w:rsidR="00415BB4" w:rsidRPr="00635512" w:rsidRDefault="00415BB4" w:rsidP="00415BB4">
            <w:pPr>
              <w:jc w:val="center"/>
              <w:rPr>
                <w:rFonts w:cstheme="minorHAnsi"/>
                <w:b/>
                <w:lang w:val="tr-TR"/>
              </w:rPr>
            </w:pPr>
            <w:r w:rsidRPr="00635512">
              <w:rPr>
                <w:rFonts w:cstheme="minorHAnsi"/>
                <w:b/>
                <w:lang w:val="tr-TR"/>
              </w:rPr>
              <w:t>9</w:t>
            </w:r>
          </w:p>
        </w:tc>
        <w:tc>
          <w:tcPr>
            <w:tcW w:w="3940" w:type="dxa"/>
          </w:tcPr>
          <w:p w14:paraId="086CFAA5" w14:textId="28F635D4" w:rsidR="00415BB4" w:rsidRPr="00635512" w:rsidRDefault="00415BB4" w:rsidP="00185D9F">
            <w:pPr>
              <w:jc w:val="both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Başvuru Rehberinin “4.2 Ortaklıklar ve Ortakların Uygunluğu” bölümünde </w:t>
            </w:r>
            <w:r>
              <w:t xml:space="preserve">Girişim Sermayesi </w:t>
            </w:r>
            <w:proofErr w:type="spellStart"/>
            <w:r>
              <w:t>Fonuna</w:t>
            </w:r>
            <w:proofErr w:type="spellEnd"/>
            <w:r>
              <w:t xml:space="preserve"> </w:t>
            </w:r>
            <w:proofErr w:type="spellStart"/>
            <w:r>
              <w:t>ortak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yatırım</w:t>
            </w:r>
            <w:proofErr w:type="spellEnd"/>
            <w:r>
              <w:t xml:space="preserve"> </w:t>
            </w:r>
            <w:proofErr w:type="spellStart"/>
            <w:r>
              <w:t>yapabilecek</w:t>
            </w:r>
            <w:proofErr w:type="spellEnd"/>
            <w:r>
              <w:t xml:space="preserve"> </w:t>
            </w:r>
            <w:proofErr w:type="spellStart"/>
            <w:r>
              <w:t>bazı</w:t>
            </w:r>
            <w:proofErr w:type="spellEnd"/>
            <w:r>
              <w:t xml:space="preserve"> </w:t>
            </w:r>
            <w:proofErr w:type="spellStart"/>
            <w:r>
              <w:t>kurumlar</w:t>
            </w:r>
            <w:proofErr w:type="spellEnd"/>
            <w:r>
              <w:t xml:space="preserve"> </w:t>
            </w:r>
            <w:proofErr w:type="spellStart"/>
            <w:r>
              <w:t>sayılmıştır</w:t>
            </w:r>
            <w:proofErr w:type="spellEnd"/>
            <w:r>
              <w:t xml:space="preserve">. Bu </w:t>
            </w:r>
            <w:proofErr w:type="spellStart"/>
            <w:r>
              <w:t>listede</w:t>
            </w:r>
            <w:proofErr w:type="spellEnd"/>
            <w:r>
              <w:t xml:space="preserve"> </w:t>
            </w:r>
            <w:proofErr w:type="spellStart"/>
            <w:r>
              <w:t>yer</w:t>
            </w:r>
            <w:proofErr w:type="spellEnd"/>
            <w:r>
              <w:t xml:space="preserve"> </w:t>
            </w:r>
            <w:proofErr w:type="spellStart"/>
            <w:r>
              <w:t>almayan</w:t>
            </w:r>
            <w:proofErr w:type="spellEnd"/>
            <w:r>
              <w:t xml:space="preserve"> </w:t>
            </w:r>
            <w:proofErr w:type="spellStart"/>
            <w:r>
              <w:t>kuruluşların</w:t>
            </w:r>
            <w:proofErr w:type="spellEnd"/>
            <w:r>
              <w:t xml:space="preserve"> (</w:t>
            </w:r>
            <w:proofErr w:type="spellStart"/>
            <w:r>
              <w:t>örneğin</w:t>
            </w:r>
            <w:proofErr w:type="spellEnd"/>
            <w:r>
              <w:t xml:space="preserve"> </w:t>
            </w:r>
            <w:proofErr w:type="spellStart"/>
            <w:r>
              <w:t>derneklerin</w:t>
            </w:r>
            <w:proofErr w:type="spellEnd"/>
            <w:r>
              <w:t xml:space="preserve">) </w:t>
            </w:r>
            <w:proofErr w:type="spellStart"/>
            <w:r>
              <w:t>fona</w:t>
            </w:r>
            <w:proofErr w:type="spellEnd"/>
            <w:r>
              <w:t xml:space="preserve"> </w:t>
            </w:r>
            <w:proofErr w:type="gramStart"/>
            <w:r>
              <w:t>LP(</w:t>
            </w:r>
            <w:proofErr w:type="gramEnd"/>
            <w:r>
              <w:t xml:space="preserve">limited partner)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ortak</w:t>
            </w:r>
            <w:proofErr w:type="spellEnd"/>
            <w:r>
              <w:t xml:space="preserve"> </w:t>
            </w:r>
            <w:proofErr w:type="spellStart"/>
            <w:r>
              <w:t>olması</w:t>
            </w:r>
            <w:proofErr w:type="spellEnd"/>
            <w:r>
              <w:t xml:space="preserve"> </w:t>
            </w:r>
            <w:proofErr w:type="spellStart"/>
            <w:r>
              <w:t>mümkünmüdür</w:t>
            </w:r>
            <w:proofErr w:type="spellEnd"/>
            <w:r>
              <w:t>?</w:t>
            </w:r>
          </w:p>
        </w:tc>
        <w:tc>
          <w:tcPr>
            <w:tcW w:w="4933" w:type="dxa"/>
          </w:tcPr>
          <w:p w14:paraId="57D83C32" w14:textId="3D2A32AC" w:rsidR="00415BB4" w:rsidRPr="00635512" w:rsidRDefault="00415BB4" w:rsidP="00185D9F">
            <w:pPr>
              <w:jc w:val="both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Başvuru Rehberi 4.2 Ortaklıklar ve Ortakların Uygunluğu bölümünde listelenmeyen</w:t>
            </w:r>
            <w:r w:rsidR="00D42AE8">
              <w:rPr>
                <w:rFonts w:cstheme="minorHAnsi"/>
                <w:lang w:val="tr-TR"/>
              </w:rPr>
              <w:t xml:space="preserve"> kuruluşların</w:t>
            </w:r>
            <w:r>
              <w:rPr>
                <w:rFonts w:cstheme="minorHAnsi"/>
                <w:lang w:val="tr-TR"/>
              </w:rPr>
              <w:t xml:space="preserve"> fon başvurularında ortak (LP) olması mümkündür. Bu kapsamda derneklerin fona yatırımcı olmasında herhangi bir engel bulunmamaktadır.</w:t>
            </w:r>
          </w:p>
        </w:tc>
      </w:tr>
      <w:tr w:rsidR="00415BB4" w:rsidRPr="00635512" w14:paraId="03019AD9" w14:textId="77777777" w:rsidTr="009930C2">
        <w:trPr>
          <w:trHeight w:val="2757"/>
        </w:trPr>
        <w:tc>
          <w:tcPr>
            <w:tcW w:w="733" w:type="dxa"/>
          </w:tcPr>
          <w:p w14:paraId="7D92E30D" w14:textId="77777777" w:rsidR="00415BB4" w:rsidRPr="00635512" w:rsidRDefault="00415BB4" w:rsidP="00415BB4">
            <w:pPr>
              <w:jc w:val="center"/>
              <w:rPr>
                <w:rFonts w:cstheme="minorHAnsi"/>
                <w:b/>
                <w:lang w:val="tr-TR"/>
              </w:rPr>
            </w:pPr>
            <w:r w:rsidRPr="00635512">
              <w:rPr>
                <w:rFonts w:cstheme="minorHAnsi"/>
                <w:b/>
                <w:lang w:val="tr-TR"/>
              </w:rPr>
              <w:t>10</w:t>
            </w:r>
          </w:p>
        </w:tc>
        <w:tc>
          <w:tcPr>
            <w:tcW w:w="3940" w:type="dxa"/>
          </w:tcPr>
          <w:p w14:paraId="0C25557D" w14:textId="10A295B6" w:rsidR="00415BB4" w:rsidRPr="00635512" w:rsidRDefault="0081704F" w:rsidP="00185D9F">
            <w:pPr>
              <w:jc w:val="both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 xml:space="preserve">Başvurular nereye ve nasıl yapılacak? </w:t>
            </w:r>
          </w:p>
        </w:tc>
        <w:tc>
          <w:tcPr>
            <w:tcW w:w="4933" w:type="dxa"/>
          </w:tcPr>
          <w:p w14:paraId="23B09FCC" w14:textId="3B300705" w:rsidR="0081704F" w:rsidRPr="0081704F" w:rsidRDefault="0081704F" w:rsidP="0081704F">
            <w:pPr>
              <w:jc w:val="both"/>
              <w:rPr>
                <w:rFonts w:cstheme="minorHAnsi"/>
                <w:lang w:val="tr-TR"/>
              </w:rPr>
            </w:pPr>
            <w:r w:rsidRPr="0081704F">
              <w:rPr>
                <w:rFonts w:cstheme="minorHAnsi"/>
                <w:lang w:val="tr-TR"/>
              </w:rPr>
              <w:t xml:space="preserve">Fon başvuruları, kapalı zarf içinde taahhütlü posta yoluyla, kargo şirketi ile veya elden </w:t>
            </w:r>
            <w:r>
              <w:rPr>
                <w:rFonts w:cstheme="minorHAnsi"/>
                <w:lang w:val="tr-TR"/>
              </w:rPr>
              <w:t xml:space="preserve">başvuru rehberinde belirtilen tarihten önce </w:t>
            </w:r>
            <w:r w:rsidRPr="0081704F">
              <w:rPr>
                <w:rFonts w:cstheme="minorHAnsi"/>
                <w:lang w:val="tr-TR"/>
              </w:rPr>
              <w:t>aşağıdaki adrese yapılır.</w:t>
            </w:r>
          </w:p>
          <w:p w14:paraId="49EF2DAD" w14:textId="77777777" w:rsidR="0081704F" w:rsidRPr="0081704F" w:rsidRDefault="0081704F" w:rsidP="0081704F">
            <w:pPr>
              <w:jc w:val="both"/>
              <w:rPr>
                <w:rFonts w:cstheme="minorHAnsi"/>
                <w:lang w:val="tr-TR"/>
              </w:rPr>
            </w:pPr>
            <w:r w:rsidRPr="0081704F">
              <w:rPr>
                <w:rFonts w:cstheme="minorHAnsi"/>
                <w:lang w:val="tr-TR"/>
              </w:rPr>
              <w:t xml:space="preserve">İstanbul Kalkınma Ajansı: </w:t>
            </w:r>
            <w:proofErr w:type="spellStart"/>
            <w:r w:rsidRPr="0081704F">
              <w:rPr>
                <w:rFonts w:cstheme="minorHAnsi"/>
                <w:lang w:val="tr-TR"/>
              </w:rPr>
              <w:t>Asmalımescit</w:t>
            </w:r>
            <w:proofErr w:type="spellEnd"/>
            <w:r w:rsidRPr="0081704F">
              <w:rPr>
                <w:rFonts w:cstheme="minorHAnsi"/>
                <w:lang w:val="tr-TR"/>
              </w:rPr>
              <w:t xml:space="preserve"> Mah. İstiklal Caddesi No:142, </w:t>
            </w:r>
            <w:proofErr w:type="spellStart"/>
            <w:r w:rsidRPr="0081704F">
              <w:rPr>
                <w:rFonts w:cstheme="minorHAnsi"/>
                <w:lang w:val="tr-TR"/>
              </w:rPr>
              <w:t>Odakule</w:t>
            </w:r>
            <w:proofErr w:type="spellEnd"/>
            <w:r w:rsidRPr="0081704F">
              <w:rPr>
                <w:rFonts w:cstheme="minorHAnsi"/>
                <w:lang w:val="tr-TR"/>
              </w:rPr>
              <w:t xml:space="preserve"> Kat:6-7-8 Beyoğlu 34430 İstanbul</w:t>
            </w:r>
          </w:p>
          <w:p w14:paraId="77B81425" w14:textId="77777777" w:rsidR="0081704F" w:rsidRPr="0081704F" w:rsidRDefault="0081704F" w:rsidP="0081704F">
            <w:pPr>
              <w:jc w:val="both"/>
              <w:rPr>
                <w:rFonts w:cstheme="minorHAnsi"/>
                <w:lang w:val="tr-TR"/>
              </w:rPr>
            </w:pPr>
            <w:r w:rsidRPr="0081704F">
              <w:rPr>
                <w:rFonts w:cstheme="minorHAnsi"/>
                <w:lang w:val="tr-TR"/>
              </w:rPr>
              <w:t>Başka yollarla (örneğin faks ya da elektronik posta ile) gönderilen ya da başka adreslere teslim edilen başvurular reddedilecektir.</w:t>
            </w:r>
          </w:p>
          <w:p w14:paraId="0F4D5B5A" w14:textId="1FE19EFC" w:rsidR="00415BB4" w:rsidRPr="00635512" w:rsidRDefault="0081704F" w:rsidP="002C165D">
            <w:pPr>
              <w:jc w:val="both"/>
              <w:rPr>
                <w:rFonts w:cstheme="minorHAnsi"/>
                <w:lang w:val="tr-TR"/>
              </w:rPr>
            </w:pPr>
            <w:r w:rsidRPr="0081704F">
              <w:rPr>
                <w:rFonts w:cstheme="minorHAnsi"/>
                <w:lang w:val="tr-TR"/>
              </w:rPr>
              <w:t>Başvuru belgeleri ve ekleri ayrıca elektronik formatta (CD/DVD/USB ortamında) da sunulmalıdır.”</w:t>
            </w:r>
          </w:p>
        </w:tc>
      </w:tr>
    </w:tbl>
    <w:p w14:paraId="5D5C813E" w14:textId="77777777" w:rsidR="00635512" w:rsidRDefault="00635512" w:rsidP="00635512"/>
    <w:p w14:paraId="318BFBAA" w14:textId="77777777" w:rsidR="006712DC" w:rsidRPr="00635512" w:rsidRDefault="006712DC">
      <w:pPr>
        <w:rPr>
          <w:sz w:val="24"/>
          <w:szCs w:val="24"/>
        </w:rPr>
      </w:pPr>
    </w:p>
    <w:sectPr w:rsidR="006712DC" w:rsidRPr="00635512" w:rsidSect="00635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30137"/>
    <w:multiLevelType w:val="hybridMultilevel"/>
    <w:tmpl w:val="3A0662EC"/>
    <w:lvl w:ilvl="0" w:tplc="6F44279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512"/>
    <w:rsid w:val="000376B9"/>
    <w:rsid w:val="00185D9F"/>
    <w:rsid w:val="001F67BA"/>
    <w:rsid w:val="002A1B2F"/>
    <w:rsid w:val="002B6469"/>
    <w:rsid w:val="002C165D"/>
    <w:rsid w:val="0039074E"/>
    <w:rsid w:val="00415BB4"/>
    <w:rsid w:val="0048451F"/>
    <w:rsid w:val="004D56BE"/>
    <w:rsid w:val="00635512"/>
    <w:rsid w:val="006712DC"/>
    <w:rsid w:val="00784FA4"/>
    <w:rsid w:val="00797961"/>
    <w:rsid w:val="0081704F"/>
    <w:rsid w:val="00902D97"/>
    <w:rsid w:val="009930C2"/>
    <w:rsid w:val="00BA3E5B"/>
    <w:rsid w:val="00CD059B"/>
    <w:rsid w:val="00D42AE8"/>
    <w:rsid w:val="00D923D3"/>
    <w:rsid w:val="00D94C21"/>
    <w:rsid w:val="00E6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F203"/>
  <w15:docId w15:val="{1E52506E-EC29-4F35-9D08-C65A846F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551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3551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7439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Bayezit</dc:creator>
  <cp:keywords/>
  <dc:description/>
  <cp:lastModifiedBy>Süleyman Bayezit</cp:lastModifiedBy>
  <cp:revision>15</cp:revision>
  <cp:lastPrinted>2021-02-02T07:15:00Z</cp:lastPrinted>
  <dcterms:created xsi:type="dcterms:W3CDTF">2021-01-27T07:11:00Z</dcterms:created>
  <dcterms:modified xsi:type="dcterms:W3CDTF">2021-02-24T12:56:00Z</dcterms:modified>
</cp:coreProperties>
</file>